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360" w:lineRule="auto"/>
        <w:rPr>
          <w:rFonts w:ascii="Times New Roman" w:hAnsi="Times New Roman" w:eastAsia="仿宋" w:cs="Times New Roman"/>
          <w:b w:val="0"/>
          <w:bCs w:val="0"/>
          <w:sz w:val="24"/>
          <w:szCs w:val="24"/>
          <w:lang w:val="zh-CN"/>
        </w:rPr>
      </w:pPr>
      <w:bookmarkStart w:id="0" w:name="_Toc38484894"/>
      <w:r>
        <w:rPr>
          <w:rFonts w:ascii="Times New Roman" w:hAnsi="Times New Roman" w:eastAsia="仿宋" w:cs="Times New Roman"/>
          <w:b w:val="0"/>
          <w:bCs w:val="0"/>
          <w:sz w:val="24"/>
          <w:szCs w:val="24"/>
          <w:lang w:val="zh-CN"/>
        </w:rPr>
        <w:t>1 风险识别与分析</w:t>
      </w:r>
      <w:bookmarkEnd w:id="0"/>
    </w:p>
    <w:p>
      <w:pPr>
        <w:pStyle w:val="5"/>
        <w:snapToGrid w:val="0"/>
        <w:spacing w:line="360" w:lineRule="auto"/>
        <w:ind w:firstLine="480"/>
        <w:rPr>
          <w:rFonts w:eastAsia="仿宋"/>
          <w:kern w:val="2"/>
          <w:sz w:val="24"/>
          <w:szCs w:val="24"/>
          <w:lang w:val="zh-CN"/>
        </w:rPr>
      </w:pPr>
      <w:r>
        <w:rPr>
          <w:rFonts w:eastAsia="仿宋"/>
          <w:kern w:val="2"/>
          <w:sz w:val="24"/>
          <w:szCs w:val="24"/>
          <w:lang w:val="zh-CN"/>
        </w:rPr>
        <w:t>风险识别是指对尚未发生的、潜在的以及客观存在的各种风险进行系统地、连续地预测、识别、推断和归纳，并分析产生事故原因的过程。这个定义包含了以下含义：感知风险和识别风险是风险识别的基本内容；风险识别不仅要识别所面临的风险，更重要的、也是最困难的是识别各种潜 在的风险；风险识别是风险管理过程中最基本和最重要的程序。</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技术风险识别是技术风险管理的基础，也是一项复杂的工作。其复杂性在于技术风险的隐匿性、复杂性和多变性；风险识别的质量与风险管理者的管理素质和风险意识密切相关；风险识别全面深入，不但要识别显性 风险，更重要的是识别潜在风险。要分析风险是静态风险还是动态风险， 是可控风险还是不可控风险。只有全面正确地识别风险投资活动所面临的 技术风险，才能奠定风险管理的良好基础。</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风险因素分析</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（1）项目管理风险</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在项目管理过程中，首要重视质量风险。因项目建设各阶段均会受到很多内、外部因素的影响导致信息系统工程的质量无法直观的评测，在工程实施中的设计方案、技术选型、设备选型、设备安装、设备配置、实施 组织、协调管理都很容易存在一定风险；合同管理的法律风险，承建单位 重承诺、轻履约。设备众多，以次充好。合同中对建设范围、目标、质量、 进度及人员保障方面的界定约束力不强等，都存在一定风险。</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（2）项目技术风险</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项目技术实现风险，拟建系统需与多个各类系统发生数据、信息、服务交互，在与原有系统的相关单位和技术人员的无力配合，或是特殊情况 下对工程技术实现提出了更高的要求等因素都会导致项目的部分设计重新 设计等风险；多集成商管理风险，建设单位、总设计单位、项目管理单位、 总集成、各子系统集成商等各单位之间的责权模糊，相互推诿责任、不作 为等造成一定风险。</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（3）项目运维风险</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内部高权限人员操作不透明，存在违规操作导致敏感信息泄露的风险，以及误操作导致 服务异常甚至宕机的风险；外部人员操作风险不可控，存在被黑客盗用账 号实施恶意攻击以及无法有效监管操作的风险；缺少必要取证举证手段， 无法第一时间发现并阻止不合法的操作，无法追溯到操作源头，为取证举 证提供充分的依据。</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（4）投资风险</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信息系统工程建设覆盖范围大、涉及内容多、技术含量高，是一个复杂的系统工程。从网络构成、应用服务系统、信息资源开发、安全保障等方面，都关系到项目建设的成败。严格按照先统一设计，后协调实施的原 则，避免“边设计边施工”的现象；严格执行基本建设项目审批程序，是控制项目投资风险的有效办法。</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（5）外部风险</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外部风险主要是由于法律法规变化，项目相关接口方的情况变化等不 可控制因素导致的风险。一般将不可控制的“不可抗力”不作为风险因素 处理，这些事件往往采用灾难防御措施。</w:t>
      </w:r>
    </w:p>
    <w:p>
      <w:pPr>
        <w:pStyle w:val="2"/>
        <w:adjustRightInd w:val="0"/>
        <w:snapToGrid w:val="0"/>
        <w:spacing w:before="0" w:after="0" w:line="360" w:lineRule="auto"/>
        <w:rPr>
          <w:rFonts w:ascii="Times New Roman" w:hAnsi="Times New Roman" w:eastAsia="仿宋" w:cs="Times New Roman"/>
          <w:b w:val="0"/>
          <w:bCs w:val="0"/>
          <w:sz w:val="24"/>
          <w:szCs w:val="24"/>
          <w:lang w:val="zh-CN"/>
        </w:rPr>
      </w:pPr>
      <w:bookmarkStart w:id="1" w:name="_Toc38484895"/>
      <w:r>
        <w:rPr>
          <w:rFonts w:ascii="Times New Roman" w:hAnsi="Times New Roman" w:eastAsia="仿宋" w:cs="Times New Roman"/>
          <w:b w:val="0"/>
          <w:bCs w:val="0"/>
          <w:sz w:val="24"/>
          <w:szCs w:val="24"/>
          <w:lang w:val="zh-CN"/>
        </w:rPr>
        <w:t>2 风险对策和管理</w:t>
      </w:r>
      <w:bookmarkEnd w:id="1"/>
    </w:p>
    <w:p>
      <w:pPr>
        <w:pStyle w:val="5"/>
        <w:snapToGrid w:val="0"/>
        <w:spacing w:line="360" w:lineRule="auto"/>
        <w:ind w:firstLine="480"/>
        <w:rPr>
          <w:rFonts w:eastAsia="仿宋"/>
          <w:kern w:val="2"/>
          <w:sz w:val="24"/>
          <w:szCs w:val="24"/>
          <w:lang w:val="zh-CN"/>
        </w:rPr>
      </w:pPr>
      <w:r>
        <w:rPr>
          <w:rFonts w:eastAsia="仿宋"/>
          <w:kern w:val="2"/>
          <w:sz w:val="24"/>
          <w:szCs w:val="24"/>
          <w:lang w:val="zh-CN"/>
        </w:rPr>
        <w:t>（1）本平台建设工作领导小组应加强与相关部门的合作与协调，应对其项目给予高度重视，积极支持、引导，保持政策的一致性和连贯性，针对存在的问题进行协调，并制订出切实可行的支持措施。</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（2）对有关价格、汇率和利率等风险在投资估算和财务效益分析中留有充分余地，同时在项目执行过程中实施有效监控。</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（3）成本控制至关重要，其对项目投资的整体效益影响较大，要给予充分重视，各期开发必须紧密连接。</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4）提升软件服务环境。在硬件环境按国际标准建设的前提下，提升服务质量、科技含量、服务水平，具有为客户提供全过程服务的手段和能力，这不仅体现出对客户的重视程度，更是符合了市场化、人性化商业服务的客观需要。</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5）在系统建设管理和技术方面，从横向和纵向上作大量的协调和管理工作，使各部门、单位之间充分协调，在项目中引入专业化的项目咨询、项目管理和项目监理机制，抓住项目的重点和难点问题，以有效的项目咨询服务、项目管理服务和监理服务为抓手，分析先行、制度先行、加强会 商会审、按程序推进项目，在项目中实时把控，确保项目的最终运行效果， 符合预期构想。</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本项目建设方案的主要技术选择符合相关技术领域的技术发展趋势，可以保证技术实现的成功，并最大限度地保持技术更新换代的可延续性。可能的潜在风险主要存在于供应商对关键设备配件的维保支持，对设备和 系统关键软件的升级支持，对光纤通信线路的维护。建议在招标合同中对主要设备和系统明确要求维保内容和期限，规避潜在风险。对在用的自建光纤线路加强维护管理，并制定链路中断的应急措施。</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本报告项目建设投资预算中包含所有网络链路的建设和租用费用，是整体解决方案。项目预备费占总投资比例较小，对不可见的项目变更适应性较弱。</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建议每个单体项目组建项目建设小组，对承建单位委派的项目经理和专业人员提出严格要求，提高项目管理规避风险的能力。</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项目建设过程中需要进行系统上线测试，这有可能使建设周期延长。在建设过程中需要调整进度安排。</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软件项目参照国际CMMI3推荐的风险管理策略进行本项目的风险控制与管理。在项目合同达成后即刻开始本项目的风险识别与控制管理，参照我司项目管理组织定义的风险库结合本项目的实际情况，在项目实施整个生命周期的各个阶段持续进行风险识别，控制以及解决。</w:t>
      </w:r>
    </w:p>
    <w:p>
      <w:pPr>
        <w:adjustRightInd w:val="0"/>
        <w:snapToGrid w:val="0"/>
        <w:spacing w:line="360" w:lineRule="auto"/>
        <w:rPr>
          <w:rFonts w:ascii="Times New Roman" w:hAnsi="Times New Roman" w:eastAsia="仿宋" w:cs="Times New Roman"/>
          <w:sz w:val="24"/>
          <w:szCs w:val="24"/>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Mjc5YWE5NTY4NTg2ZTMzYzkwZmVlZjBkZTVkOTcifQ=="/>
    <w:docVar w:name="KSO_WPS_MARK_KEY" w:val="f354aaff-263f-45f1-8c8a-6a0e43d91110"/>
  </w:docVars>
  <w:rsids>
    <w:rsidRoot w:val="11B82D0A"/>
    <w:rsid w:val="11B82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文使用"/>
    <w:basedOn w:val="1"/>
    <w:qFormat/>
    <w:uiPriority w:val="0"/>
    <w:pPr>
      <w:tabs>
        <w:tab w:val="left" w:pos="0"/>
      </w:tabs>
      <w:autoSpaceDE w:val="0"/>
      <w:autoSpaceDN w:val="0"/>
      <w:adjustRightInd w:val="0"/>
      <w:spacing w:line="560" w:lineRule="exact"/>
      <w:ind w:firstLine="560" w:firstLineChars="200"/>
    </w:pPr>
    <w:rPr>
      <w:rFonts w:ascii="Times New Roman" w:hAnsi="Times New Roman" w:eastAsia="宋体" w:cs="Times New Roman"/>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2023-09-22T13:21:00Z</dcterms:created>
  <dcterms:modified xsi:type="dcterms:W3CDTF">2023-09-22T13:22:13Z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003A9811164F46DA97947F5DF6944E89_11</vt:lpwstr>
  </property>
</Properties>
</file>